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A2E" w:rsidRPr="00777511" w:rsidRDefault="00F95A2E" w:rsidP="00F95A2E">
      <w:pPr>
        <w:ind w:right="-22"/>
        <w:contextualSpacing/>
        <w:jc w:val="right"/>
        <w:rPr>
          <w:rFonts w:ascii="Times New Roman" w:hAnsi="Times New Roman" w:cs="Times New Roman"/>
          <w:sz w:val="28"/>
        </w:rPr>
      </w:pPr>
      <w:r w:rsidRPr="00777511">
        <w:rPr>
          <w:rFonts w:ascii="Times New Roman" w:hAnsi="Times New Roman" w:cs="Times New Roman"/>
          <w:sz w:val="28"/>
        </w:rPr>
        <w:t>ПРОЕКТ</w:t>
      </w:r>
    </w:p>
    <w:p w:rsidR="00F95A2E" w:rsidRPr="00777511" w:rsidRDefault="00F95A2E" w:rsidP="00F95A2E">
      <w:pPr>
        <w:ind w:right="-22"/>
        <w:contextualSpacing/>
        <w:jc w:val="center"/>
        <w:rPr>
          <w:rFonts w:ascii="Times New Roman" w:hAnsi="Times New Roman" w:cs="Times New Roman"/>
        </w:rPr>
      </w:pPr>
      <w:r w:rsidRPr="00777511">
        <w:rPr>
          <w:rFonts w:ascii="Times New Roman" w:hAnsi="Times New Roman" w:cs="Times New Roman"/>
          <w:noProof/>
          <w:lang w:eastAsia="ru-RU"/>
        </w:rPr>
        <w:drawing>
          <wp:inline distT="0" distB="0" distL="0" distR="0" wp14:anchorId="0481D8DB" wp14:editId="04690C79">
            <wp:extent cx="704850"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5F_x0000_i102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14400"/>
                    </a:xfrm>
                    <a:prstGeom prst="rect">
                      <a:avLst/>
                    </a:prstGeom>
                    <a:noFill/>
                    <a:ln>
                      <a:noFill/>
                    </a:ln>
                  </pic:spPr>
                </pic:pic>
              </a:graphicData>
            </a:graphic>
          </wp:inline>
        </w:drawing>
      </w:r>
    </w:p>
    <w:p w:rsidR="00F95A2E" w:rsidRPr="00777511" w:rsidRDefault="00F95A2E" w:rsidP="00F95A2E">
      <w:pPr>
        <w:ind w:right="-22"/>
        <w:contextualSpacing/>
        <w:jc w:val="center"/>
        <w:rPr>
          <w:rFonts w:ascii="Times New Roman" w:hAnsi="Times New Roman" w:cs="Times New Roman"/>
          <w:sz w:val="28"/>
        </w:rPr>
      </w:pPr>
    </w:p>
    <w:p w:rsidR="00F95A2E" w:rsidRPr="00777511" w:rsidRDefault="00F95A2E" w:rsidP="00F95A2E">
      <w:pPr>
        <w:contextualSpacing/>
        <w:jc w:val="center"/>
        <w:rPr>
          <w:rFonts w:ascii="Times New Roman" w:hAnsi="Times New Roman" w:cs="Times New Roman"/>
          <w:b/>
          <w:sz w:val="28"/>
        </w:rPr>
      </w:pPr>
      <w:r w:rsidRPr="00777511">
        <w:rPr>
          <w:rFonts w:ascii="Times New Roman" w:hAnsi="Times New Roman" w:cs="Times New Roman"/>
          <w:b/>
          <w:sz w:val="28"/>
        </w:rPr>
        <w:t>ДУМА</w:t>
      </w:r>
    </w:p>
    <w:p w:rsidR="00F95A2E" w:rsidRPr="00777511" w:rsidRDefault="00F95A2E" w:rsidP="00F95A2E">
      <w:pPr>
        <w:contextualSpacing/>
        <w:jc w:val="center"/>
        <w:rPr>
          <w:rFonts w:ascii="Times New Roman" w:hAnsi="Times New Roman" w:cs="Times New Roman"/>
          <w:b/>
          <w:sz w:val="28"/>
        </w:rPr>
      </w:pPr>
      <w:r w:rsidRPr="00777511">
        <w:rPr>
          <w:rFonts w:ascii="Times New Roman" w:hAnsi="Times New Roman" w:cs="Times New Roman"/>
          <w:b/>
          <w:sz w:val="28"/>
        </w:rPr>
        <w:t>УССУРИЙСКОГО ГОРОДСКОГО ОКРУГА</w:t>
      </w:r>
    </w:p>
    <w:p w:rsidR="00F95A2E" w:rsidRPr="00777511" w:rsidRDefault="00F95A2E" w:rsidP="00F95A2E">
      <w:pPr>
        <w:contextualSpacing/>
        <w:jc w:val="center"/>
        <w:rPr>
          <w:rFonts w:ascii="Times New Roman" w:hAnsi="Times New Roman" w:cs="Times New Roman"/>
          <w:b/>
          <w:sz w:val="28"/>
        </w:rPr>
      </w:pPr>
      <w:r w:rsidRPr="00777511">
        <w:rPr>
          <w:rFonts w:ascii="Times New Roman" w:hAnsi="Times New Roman" w:cs="Times New Roman"/>
          <w:b/>
          <w:sz w:val="28"/>
        </w:rPr>
        <w:t>ПРИМОРСКОГО КРАЯ</w:t>
      </w:r>
    </w:p>
    <w:p w:rsidR="00F95A2E" w:rsidRPr="00777511" w:rsidRDefault="00F95A2E" w:rsidP="00F95A2E">
      <w:pPr>
        <w:contextualSpacing/>
        <w:jc w:val="center"/>
        <w:rPr>
          <w:rFonts w:ascii="Times New Roman" w:hAnsi="Times New Roman" w:cs="Times New Roman"/>
          <w:sz w:val="28"/>
        </w:rPr>
      </w:pPr>
    </w:p>
    <w:p w:rsidR="00F95A2E" w:rsidRPr="00777511" w:rsidRDefault="00F95A2E" w:rsidP="00F95A2E">
      <w:pPr>
        <w:contextualSpacing/>
        <w:jc w:val="center"/>
        <w:rPr>
          <w:rFonts w:ascii="Times New Roman" w:hAnsi="Times New Roman" w:cs="Times New Roman"/>
          <w:b/>
          <w:sz w:val="28"/>
        </w:rPr>
      </w:pPr>
      <w:r w:rsidRPr="00777511">
        <w:rPr>
          <w:rFonts w:ascii="Times New Roman" w:hAnsi="Times New Roman" w:cs="Times New Roman"/>
          <w:b/>
          <w:sz w:val="28"/>
        </w:rPr>
        <w:t>Р Е Ш Е Н И Е</w:t>
      </w:r>
    </w:p>
    <w:p w:rsidR="00F95A2E" w:rsidRPr="00777511" w:rsidRDefault="00F95A2E" w:rsidP="00F95A2E">
      <w:pPr>
        <w:contextualSpacing/>
        <w:jc w:val="both"/>
        <w:rPr>
          <w:rFonts w:ascii="Times New Roman" w:hAnsi="Times New Roman" w:cs="Times New Roman"/>
          <w:sz w:val="28"/>
        </w:rPr>
      </w:pPr>
    </w:p>
    <w:p w:rsidR="00F95A2E" w:rsidRPr="00777511" w:rsidRDefault="00F95A2E" w:rsidP="00F95A2E">
      <w:pPr>
        <w:contextualSpacing/>
        <w:jc w:val="both"/>
        <w:rPr>
          <w:rFonts w:ascii="Times New Roman" w:hAnsi="Times New Roman" w:cs="Times New Roman"/>
          <w:sz w:val="28"/>
        </w:rPr>
      </w:pPr>
    </w:p>
    <w:tbl>
      <w:tblPr>
        <w:tblStyle w:val="14"/>
        <w:tblW w:w="0" w:type="auto"/>
        <w:tblLayout w:type="fixed"/>
        <w:tblLook w:val="04A0" w:firstRow="1" w:lastRow="0" w:firstColumn="1" w:lastColumn="0" w:noHBand="0" w:noVBand="1"/>
      </w:tblPr>
      <w:tblGrid>
        <w:gridCol w:w="3190"/>
        <w:gridCol w:w="3190"/>
        <w:gridCol w:w="3191"/>
      </w:tblGrid>
      <w:tr w:rsidR="00F95A2E" w:rsidRPr="00777511" w:rsidTr="000E4592">
        <w:tc>
          <w:tcPr>
            <w:tcW w:w="3190" w:type="dxa"/>
          </w:tcPr>
          <w:p w:rsidR="00F95A2E" w:rsidRPr="00777511" w:rsidRDefault="00351736" w:rsidP="00351736">
            <w:pPr>
              <w:contextualSpacing/>
              <w:jc w:val="both"/>
              <w:rPr>
                <w:rFonts w:cs="Liberation Serif"/>
                <w:sz w:val="28"/>
              </w:rPr>
            </w:pPr>
            <w:r>
              <w:rPr>
                <w:rFonts w:cs="Liberation Serif"/>
                <w:sz w:val="28"/>
              </w:rPr>
              <w:t>25</w:t>
            </w:r>
            <w:r w:rsidR="00F95A2E">
              <w:rPr>
                <w:rFonts w:cs="Liberation Serif"/>
                <w:sz w:val="28"/>
              </w:rPr>
              <w:t>.1</w:t>
            </w:r>
            <w:r>
              <w:rPr>
                <w:rFonts w:cs="Liberation Serif"/>
                <w:sz w:val="28"/>
              </w:rPr>
              <w:t>1</w:t>
            </w:r>
            <w:bookmarkStart w:id="0" w:name="_GoBack"/>
            <w:bookmarkEnd w:id="0"/>
            <w:r w:rsidR="00F95A2E" w:rsidRPr="00777511">
              <w:rPr>
                <w:rFonts w:cs="Liberation Serif"/>
                <w:sz w:val="28"/>
              </w:rPr>
              <w:t>.202</w:t>
            </w:r>
            <w:r w:rsidR="00F95A2E">
              <w:rPr>
                <w:rFonts w:cs="Liberation Serif"/>
                <w:sz w:val="28"/>
              </w:rPr>
              <w:t>5</w:t>
            </w:r>
          </w:p>
        </w:tc>
        <w:tc>
          <w:tcPr>
            <w:tcW w:w="3190" w:type="dxa"/>
          </w:tcPr>
          <w:p w:rsidR="00F95A2E" w:rsidRPr="00777511" w:rsidRDefault="00F95A2E" w:rsidP="000E4592">
            <w:pPr>
              <w:contextualSpacing/>
              <w:jc w:val="center"/>
              <w:rPr>
                <w:rFonts w:cs="Liberation Serif"/>
                <w:sz w:val="28"/>
              </w:rPr>
            </w:pPr>
            <w:r w:rsidRPr="00777511">
              <w:rPr>
                <w:rFonts w:cs="Liberation Serif"/>
                <w:sz w:val="28"/>
              </w:rPr>
              <w:t>г. Уссурийск</w:t>
            </w:r>
          </w:p>
        </w:tc>
        <w:tc>
          <w:tcPr>
            <w:tcW w:w="3191" w:type="dxa"/>
          </w:tcPr>
          <w:p w:rsidR="00F95A2E" w:rsidRPr="00777511" w:rsidRDefault="00F95A2E" w:rsidP="000E4592">
            <w:pPr>
              <w:contextualSpacing/>
              <w:jc w:val="right"/>
              <w:rPr>
                <w:rFonts w:cs="Liberation Serif"/>
                <w:sz w:val="28"/>
              </w:rPr>
            </w:pPr>
            <w:r w:rsidRPr="00777511">
              <w:rPr>
                <w:rFonts w:cs="Liberation Serif"/>
                <w:sz w:val="28"/>
              </w:rPr>
              <w:t>№ __-НПА</w:t>
            </w:r>
          </w:p>
        </w:tc>
      </w:tr>
    </w:tbl>
    <w:p w:rsidR="00C73A3D" w:rsidRDefault="00C73A3D">
      <w:pPr>
        <w:spacing w:after="0" w:line="240" w:lineRule="auto"/>
        <w:rPr>
          <w:rFonts w:ascii="Times New Roman" w:hAnsi="Times New Roman" w:cs="Times New Roman"/>
          <w:sz w:val="28"/>
          <w:szCs w:val="28"/>
        </w:rPr>
      </w:pPr>
    </w:p>
    <w:p w:rsidR="00C73A3D" w:rsidRDefault="00C73A3D">
      <w:pPr>
        <w:spacing w:after="0" w:line="240" w:lineRule="auto"/>
        <w:rPr>
          <w:rFonts w:ascii="Times New Roman" w:hAnsi="Times New Roman" w:cs="Times New Roman"/>
          <w:sz w:val="28"/>
          <w:szCs w:val="28"/>
        </w:rPr>
      </w:pPr>
    </w:p>
    <w:p w:rsidR="00C73A3D" w:rsidRDefault="00A97FF8">
      <w:pPr>
        <w:spacing w:after="0" w:line="240" w:lineRule="auto"/>
        <w:jc w:val="center"/>
        <w:rPr>
          <w:rFonts w:ascii="Times New Roman" w:hAnsi="Times New Roman" w:cs="Times New Roman"/>
          <w:sz w:val="28"/>
          <w:szCs w:val="28"/>
        </w:rPr>
      </w:pPr>
      <w:r>
        <w:rPr>
          <w:rFonts w:ascii="Times New Roman" w:eastAsia="Times New Roman" w:hAnsi="Times New Roman" w:cs="Times New Roman"/>
          <w:b/>
          <w:bCs/>
          <w:sz w:val="28"/>
          <w:szCs w:val="28"/>
        </w:rPr>
        <w:t>О внесении изменений в решение Думы Уссурийского городского округа от 1 октября 2012 года № 623-НПА "О системе оплаты труда работников муниципального казенного учреждения "Управление по делам гражданской обороны и чрезвычайным ситуациям" Уссурийского городского округа Приморского края, муниципального казенного учреждения "Административно хозяйственное управление" Уссурийского городского округа Приморского края, муниципального казенного учреждения "Архив" Уссурийского городского округа Приморского края, муниципального казенного учреждения "Служба единого заказчика застройщика" Уссурийского городского округа Приморского края, муниципального казенного учреждения "Дирекция парков и скверов" Уссурийского городского округа Приморского края"</w:t>
      </w:r>
    </w:p>
    <w:p w:rsidR="00C73A3D" w:rsidRDefault="00C73A3D">
      <w:pPr>
        <w:spacing w:after="0" w:line="240" w:lineRule="auto"/>
        <w:rPr>
          <w:rFonts w:ascii="Times New Roman" w:hAnsi="Times New Roman" w:cs="Times New Roman"/>
          <w:sz w:val="28"/>
          <w:szCs w:val="28"/>
        </w:rPr>
      </w:pPr>
    </w:p>
    <w:p w:rsidR="00C73A3D" w:rsidRDefault="00C73A3D">
      <w:pPr>
        <w:spacing w:after="0" w:line="240" w:lineRule="auto"/>
        <w:rPr>
          <w:rFonts w:ascii="Times New Roman" w:hAnsi="Times New Roman" w:cs="Times New Roman"/>
          <w:sz w:val="28"/>
          <w:szCs w:val="28"/>
        </w:rPr>
      </w:pPr>
    </w:p>
    <w:p w:rsidR="00C73A3D" w:rsidRDefault="00A97FF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В соответствии со статьей 135 Трудового кодекса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 </w:t>
      </w:r>
      <w:r>
        <w:rPr>
          <w:rFonts w:ascii="Times New Roman" w:eastAsia="Times New Roman" w:hAnsi="Times New Roman" w:cs="Times New Roman"/>
          <w:sz w:val="28"/>
          <w:szCs w:val="28"/>
        </w:rPr>
        <w:t>Уставом Уссурийского городского округа Приморского края, Дума Уссурийского городского округа Приморского края</w:t>
      </w:r>
    </w:p>
    <w:p w:rsidR="00C73A3D" w:rsidRDefault="00C73A3D">
      <w:pPr>
        <w:spacing w:after="0" w:line="240" w:lineRule="auto"/>
        <w:ind w:firstLine="709"/>
        <w:jc w:val="both"/>
        <w:rPr>
          <w:rFonts w:ascii="Times New Roman" w:hAnsi="Times New Roman" w:cs="Times New Roman"/>
          <w:sz w:val="28"/>
          <w:szCs w:val="28"/>
        </w:rPr>
      </w:pPr>
    </w:p>
    <w:p w:rsidR="00C73A3D" w:rsidRDefault="00A97FF8" w:rsidP="00F95A2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РЕШИЛА:</w:t>
      </w:r>
    </w:p>
    <w:p w:rsidR="00C73A3D" w:rsidRDefault="00C73A3D" w:rsidP="00F95A2E">
      <w:pPr>
        <w:spacing w:after="0" w:line="240" w:lineRule="auto"/>
        <w:jc w:val="both"/>
        <w:rPr>
          <w:rFonts w:ascii="Times New Roman" w:hAnsi="Times New Roman" w:cs="Times New Roman"/>
          <w:sz w:val="28"/>
          <w:szCs w:val="28"/>
        </w:rPr>
      </w:pP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 xml:space="preserve">1. Внести в решение Думы Уссурийского городского округа                        от 1 октября 2012 года № 623-НПА "О системе оплаты труда работников муниципального казенного учреждения "Управление по делам гражданской обороны и чрезвычайным ситуациям" Уссурийского городского округа Приморского края, муниципального казенного учреждения "Административно – хозяйственное управление" Уссурийского городского округа Приморского края, муниципального казенного учреждения "Архив" </w:t>
      </w:r>
      <w:r>
        <w:rPr>
          <w:rFonts w:ascii="Times New Roman" w:eastAsia="Times New Roman" w:hAnsi="Times New Roman" w:cs="Times New Roman"/>
          <w:bCs/>
          <w:sz w:val="28"/>
          <w:szCs w:val="28"/>
        </w:rPr>
        <w:lastRenderedPageBreak/>
        <w:t>Уссурийского городского округа Приморского края, муниципального казенного учреждения "Служба единого заказчика – застройщика" Уссурийского городского округа Приморского края, муниципального казенного учреждения "Дирекция парков и скверов" Уссурийского городского округа Приморского края" (далее – решение) следующие изменения:</w:t>
      </w:r>
    </w:p>
    <w:p w:rsidR="00C73A3D" w:rsidRDefault="00A97FF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в приложении к решению:</w:t>
      </w:r>
    </w:p>
    <w:p w:rsidR="00C73A3D" w:rsidRDefault="00A97FF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1)</w:t>
      </w:r>
      <w:r>
        <w:t xml:space="preserve"> </w:t>
      </w:r>
      <w:r>
        <w:rPr>
          <w:rFonts w:ascii="Times New Roman" w:eastAsia="Times New Roman" w:hAnsi="Times New Roman" w:cs="Times New Roman"/>
          <w:bCs/>
          <w:sz w:val="28"/>
          <w:szCs w:val="28"/>
        </w:rPr>
        <w:t>в пункте 7.1 раздела 7:</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а) абзац десятый исключить;</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б) абзац пятнадцатый изложить в следующей редакции:</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"для муниципального казенного учреждения "Административно-хозяйственное управление" Уссурийского городского округа Приморского края, муниципального казенного учреждения "Управление по делам гражданской обороны и чрезвычайным ситуациям" Уссурийского городского округа Приморского края в размере 2,0, муниципального казенного учреждения "Дирекция парков и скверов" Уссурийского городского округа Приморского края в размере 1,7;";</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в) абзац шестнадцатый исключить;</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г) абзац девятнадцатый изложить в следующей редакции:</w:t>
      </w:r>
    </w:p>
    <w:p w:rsidR="00C73A3D" w:rsidRDefault="00A97FF8">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bCs/>
          <w:sz w:val="28"/>
          <w:szCs w:val="28"/>
        </w:rPr>
        <w:t xml:space="preserve">"Фонд оплаты труда муниципального казенного учреждения "Архив" Уссурийского городского округа Приморского края формируется в соответствии с реализацией Плана мероприятий ("дорожной карты")                         </w:t>
      </w:r>
      <w:r>
        <w:rPr>
          <w:rFonts w:ascii="Times New Roman" w:eastAsia="Times New Roman" w:hAnsi="Times New Roman" w:cs="Times New Roman"/>
          <w:sz w:val="28"/>
          <w:szCs w:val="28"/>
        </w:rPr>
        <w:t xml:space="preserve">"Об </w:t>
      </w:r>
      <w:r>
        <w:rPr>
          <w:rFonts w:ascii="Times New Roman" w:eastAsia="Times New Roman" w:hAnsi="Times New Roman" w:cs="Times New Roman"/>
          <w:bCs/>
          <w:sz w:val="28"/>
          <w:szCs w:val="28"/>
        </w:rPr>
        <w:t>установлении прогнозных значений,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в Приморском крае", утвержденного Распоряжением Правительства Приморского края от 28 декабря 2020 года № 623-рп (далее - план мероприятий) и рассчитывается путем произведения количества штатных единиц муниципального казенного учреждения "Архив" Уссурийского городского округа Приморского края, среднемесячной заработной платы работников учреждений культуры, утвержденной планом мероприятий, в расчете на календарный год (12 календарных месяцев).".</w:t>
      </w:r>
    </w:p>
    <w:p w:rsidR="00A75374" w:rsidRDefault="00A97FF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A75374">
        <w:rPr>
          <w:rFonts w:ascii="Times New Roman" w:eastAsia="Times New Roman" w:hAnsi="Times New Roman" w:cs="Times New Roman"/>
          <w:sz w:val="28"/>
          <w:szCs w:val="28"/>
        </w:rPr>
        <w:t>Опубликовать настоящее решение.</w:t>
      </w:r>
    </w:p>
    <w:p w:rsidR="00C73A3D" w:rsidRDefault="00A75374">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3. </w:t>
      </w:r>
      <w:r w:rsidR="00A97FF8">
        <w:rPr>
          <w:rFonts w:ascii="Times New Roman" w:eastAsia="Times New Roman" w:hAnsi="Times New Roman" w:cs="Times New Roman"/>
          <w:sz w:val="28"/>
          <w:szCs w:val="28"/>
        </w:rPr>
        <w:t>Настоящее решение вступает в силу с 1 января 2026 года.</w:t>
      </w:r>
    </w:p>
    <w:p w:rsidR="00C73A3D" w:rsidRDefault="00C73A3D">
      <w:pPr>
        <w:spacing w:after="0" w:line="240" w:lineRule="auto"/>
        <w:jc w:val="both"/>
        <w:rPr>
          <w:rFonts w:ascii="Times New Roman" w:hAnsi="Times New Roman" w:cs="Times New Roman"/>
          <w:sz w:val="28"/>
          <w:szCs w:val="28"/>
        </w:rPr>
      </w:pPr>
    </w:p>
    <w:p w:rsidR="00C73A3D" w:rsidRDefault="00C73A3D">
      <w:pPr>
        <w:spacing w:after="0" w:line="240" w:lineRule="auto"/>
        <w:jc w:val="both"/>
        <w:rPr>
          <w:rFonts w:ascii="Times New Roman" w:hAnsi="Times New Roman" w:cs="Times New Roman"/>
          <w:sz w:val="28"/>
          <w:szCs w:val="28"/>
        </w:rPr>
      </w:pPr>
    </w:p>
    <w:p w:rsidR="00F95A2E" w:rsidRDefault="00F95A2E">
      <w:pPr>
        <w:spacing w:after="0" w:line="240" w:lineRule="auto"/>
        <w:jc w:val="both"/>
        <w:rPr>
          <w:rFonts w:ascii="Times New Roman" w:hAnsi="Times New Roman" w:cs="Times New Roman"/>
          <w:sz w:val="28"/>
          <w:szCs w:val="28"/>
        </w:rPr>
      </w:pPr>
    </w:p>
    <w:tbl>
      <w:tblPr>
        <w:tblW w:w="9464" w:type="dxa"/>
        <w:tblLayout w:type="fixed"/>
        <w:tblLook w:val="04A0" w:firstRow="1" w:lastRow="0" w:firstColumn="1" w:lastColumn="0" w:noHBand="0" w:noVBand="1"/>
      </w:tblPr>
      <w:tblGrid>
        <w:gridCol w:w="4928"/>
        <w:gridCol w:w="4536"/>
      </w:tblGrid>
      <w:tr w:rsidR="00C73A3D">
        <w:tc>
          <w:tcPr>
            <w:tcW w:w="4928" w:type="dxa"/>
          </w:tcPr>
          <w:p w:rsidR="00C73A3D" w:rsidRDefault="00A97FF8" w:rsidP="00F95A2E">
            <w:pPr>
              <w:spacing w:after="0" w:line="240" w:lineRule="auto"/>
              <w:rPr>
                <w:rFonts w:ascii="Times New Roman" w:hAnsi="Times New Roman" w:cs="Times New Roman"/>
                <w:szCs w:val="28"/>
              </w:rPr>
            </w:pPr>
            <w:r>
              <w:rPr>
                <w:rFonts w:ascii="Times New Roman" w:eastAsia="Times New Roman" w:hAnsi="Times New Roman" w:cs="Times New Roman"/>
                <w:sz w:val="28"/>
                <w:szCs w:val="28"/>
              </w:rPr>
              <w:t xml:space="preserve">Председатель Думы </w:t>
            </w:r>
            <w:r>
              <w:rPr>
                <w:rStyle w:val="itemtext1"/>
                <w:rFonts w:ascii="Times New Roman" w:eastAsia="Times New Roman" w:hAnsi="Times New Roman" w:cs="Times New Roman"/>
                <w:color w:val="auto"/>
                <w:sz w:val="28"/>
                <w:szCs w:val="28"/>
              </w:rPr>
              <w:t>Уссурийского городского округа Приморского края</w:t>
            </w:r>
          </w:p>
        </w:tc>
        <w:tc>
          <w:tcPr>
            <w:tcW w:w="4536" w:type="dxa"/>
          </w:tcPr>
          <w:p w:rsidR="00C73A3D" w:rsidRDefault="00A97FF8" w:rsidP="00F95A2E">
            <w:pPr>
              <w:pStyle w:val="13"/>
              <w:shd w:val="clear" w:color="auto" w:fill="FFFFFF"/>
              <w:spacing w:before="0" w:beforeAutospacing="0" w:after="0" w:afterAutospacing="0"/>
              <w:rPr>
                <w:rFonts w:ascii="Times New Roman" w:hAnsi="Times New Roman"/>
                <w:sz w:val="28"/>
                <w:szCs w:val="28"/>
              </w:rPr>
            </w:pPr>
            <w:r>
              <w:rPr>
                <w:rFonts w:ascii="Times New Roman" w:hAnsi="Times New Roman"/>
                <w:sz w:val="28"/>
                <w:szCs w:val="28"/>
              </w:rPr>
              <w:t>Глава Уссурийского городского округа Приморского края</w:t>
            </w:r>
          </w:p>
          <w:p w:rsidR="00C73A3D" w:rsidRPr="00F95A2E" w:rsidRDefault="00C73A3D" w:rsidP="00F95A2E">
            <w:pPr>
              <w:pStyle w:val="13"/>
              <w:shd w:val="clear" w:color="auto" w:fill="FFFFFF"/>
              <w:spacing w:before="0" w:beforeAutospacing="0" w:after="0" w:afterAutospacing="0"/>
              <w:rPr>
                <w:rFonts w:ascii="Times New Roman" w:hAnsi="Times New Roman"/>
                <w:sz w:val="16"/>
                <w:szCs w:val="16"/>
              </w:rPr>
            </w:pPr>
          </w:p>
        </w:tc>
      </w:tr>
      <w:tr w:rsidR="00C73A3D" w:rsidTr="00F95A2E">
        <w:trPr>
          <w:trHeight w:val="400"/>
        </w:trPr>
        <w:tc>
          <w:tcPr>
            <w:tcW w:w="4928" w:type="dxa"/>
          </w:tcPr>
          <w:p w:rsidR="00C73A3D" w:rsidRDefault="00A97FF8">
            <w:pPr>
              <w:spacing w:line="240" w:lineRule="auto"/>
              <w:rPr>
                <w:rFonts w:ascii="Times New Roman" w:hAnsi="Times New Roman" w:cs="Times New Roman"/>
                <w:szCs w:val="28"/>
              </w:rPr>
            </w:pPr>
            <w:r>
              <w:rPr>
                <w:rFonts w:ascii="Times New Roman" w:eastAsia="Times New Roman" w:hAnsi="Times New Roman" w:cs="Times New Roman"/>
                <w:sz w:val="28"/>
                <w:szCs w:val="28"/>
              </w:rPr>
              <w:t>_____________________А.Н. Черныш</w:t>
            </w:r>
          </w:p>
        </w:tc>
        <w:tc>
          <w:tcPr>
            <w:tcW w:w="4536" w:type="dxa"/>
          </w:tcPr>
          <w:p w:rsidR="00C73A3D" w:rsidRDefault="00A97FF8">
            <w:pPr>
              <w:pStyle w:val="13"/>
              <w:shd w:val="clear" w:color="auto" w:fill="FFFFFF"/>
              <w:spacing w:before="0" w:beforeAutospacing="0"/>
              <w:rPr>
                <w:rFonts w:ascii="Times New Roman" w:hAnsi="Times New Roman"/>
                <w:sz w:val="28"/>
                <w:szCs w:val="28"/>
              </w:rPr>
            </w:pPr>
            <w:r>
              <w:rPr>
                <w:rFonts w:ascii="Times New Roman" w:hAnsi="Times New Roman"/>
                <w:sz w:val="28"/>
                <w:szCs w:val="28"/>
              </w:rPr>
              <w:t>_____________________Е.Е. Корж</w:t>
            </w:r>
          </w:p>
        </w:tc>
      </w:tr>
    </w:tbl>
    <w:p w:rsidR="00C73A3D" w:rsidRDefault="00C73A3D">
      <w:pPr>
        <w:spacing w:after="0" w:line="240" w:lineRule="auto"/>
        <w:jc w:val="both"/>
        <w:rPr>
          <w:rFonts w:ascii="Times New Roman" w:hAnsi="Times New Roman" w:cs="Times New Roman"/>
          <w:sz w:val="28"/>
          <w:szCs w:val="28"/>
        </w:rPr>
      </w:pPr>
    </w:p>
    <w:sectPr w:rsidR="00C73A3D">
      <w:headerReference w:type="default" r:id="rId7"/>
      <w:headerReference w:type="first" r:id="rId8"/>
      <w:footerReference w:type="first" r:id="rId9"/>
      <w:pgSz w:w="11906" w:h="16838"/>
      <w:pgMar w:top="381" w:right="850" w:bottom="1134" w:left="170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1F8" w:rsidRDefault="005E31F8">
      <w:pPr>
        <w:spacing w:after="0" w:line="240" w:lineRule="auto"/>
      </w:pPr>
      <w:r>
        <w:separator/>
      </w:r>
    </w:p>
  </w:endnote>
  <w:endnote w:type="continuationSeparator" w:id="0">
    <w:p w:rsidR="005E31F8" w:rsidRDefault="005E3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charset w:val="00"/>
    <w:family w:val="auto"/>
    <w:pitch w:val="default"/>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3D" w:rsidRDefault="00C73A3D">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1F8" w:rsidRDefault="005E31F8">
      <w:pPr>
        <w:spacing w:after="0" w:line="240" w:lineRule="auto"/>
      </w:pPr>
      <w:r>
        <w:separator/>
      </w:r>
    </w:p>
  </w:footnote>
  <w:footnote w:type="continuationSeparator" w:id="0">
    <w:p w:rsidR="005E31F8" w:rsidRDefault="005E31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3D" w:rsidRDefault="00A97FF8">
    <w:pPr>
      <w:pStyle w:val="a9"/>
      <w:spacing w:before="283" w:line="360" w:lineRule="auto"/>
      <w:jc w:val="center"/>
      <w:rPr>
        <w:rFonts w:ascii="Liberation Serif" w:hAnsi="Liberation Serif" w:cs="Liberation Serif"/>
        <w:sz w:val="28"/>
        <w:szCs w:val="28"/>
      </w:rPr>
    </w:pPr>
    <w:r>
      <w:rPr>
        <w:rFonts w:ascii="Liberation Serif" w:eastAsia="Liberation Serif" w:hAnsi="Liberation Serif" w:cs="Liberation Serif"/>
        <w:sz w:val="28"/>
        <w:szCs w:val="28"/>
      </w:rPr>
      <w:fldChar w:fldCharType="begin"/>
    </w:r>
    <w:r>
      <w:rPr>
        <w:rFonts w:ascii="Liberation Serif" w:eastAsia="Liberation Serif" w:hAnsi="Liberation Serif" w:cs="Liberation Serif"/>
        <w:sz w:val="28"/>
        <w:szCs w:val="28"/>
      </w:rPr>
      <w:instrText>PAGE \* MERGEFORMAT</w:instrText>
    </w:r>
    <w:r>
      <w:rPr>
        <w:rFonts w:ascii="Liberation Serif" w:eastAsia="Liberation Serif" w:hAnsi="Liberation Serif" w:cs="Liberation Serif"/>
        <w:sz w:val="28"/>
        <w:szCs w:val="28"/>
      </w:rPr>
      <w:fldChar w:fldCharType="separate"/>
    </w:r>
    <w:r w:rsidR="00CF22BA">
      <w:rPr>
        <w:rFonts w:ascii="Liberation Serif" w:eastAsia="Liberation Serif" w:hAnsi="Liberation Serif" w:cs="Liberation Serif"/>
        <w:noProof/>
        <w:sz w:val="28"/>
        <w:szCs w:val="28"/>
      </w:rPr>
      <w:t>2</w:t>
    </w:r>
    <w:r>
      <w:rPr>
        <w:rFonts w:ascii="Liberation Serif" w:eastAsia="Liberation Serif" w:hAnsi="Liberation Serif" w:cs="Liberation Serif"/>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A3D" w:rsidRDefault="00C73A3D">
    <w:pPr>
      <w:pStyle w:val="a9"/>
      <w:tabs>
        <w:tab w:val="clear" w:pos="7143"/>
        <w:tab w:val="clear" w:pos="14287"/>
        <w:tab w:val="left" w:pos="299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3D"/>
    <w:rsid w:val="000D55F0"/>
    <w:rsid w:val="00351736"/>
    <w:rsid w:val="004D698A"/>
    <w:rsid w:val="005E31F8"/>
    <w:rsid w:val="00A75374"/>
    <w:rsid w:val="00A97FF8"/>
    <w:rsid w:val="00C73A3D"/>
    <w:rsid w:val="00CF22BA"/>
    <w:rsid w:val="00F9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DF6D"/>
  <w15:docId w15:val="{C9D33E5E-BE1B-4995-98F5-28E1FFC13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basedOn w:val="a"/>
    <w:uiPriority w:val="34"/>
    <w:qFormat/>
    <w:pPr>
      <w:ind w:left="720"/>
      <w:contextualSpacing/>
    </w:pPr>
  </w:style>
  <w:style w:type="character" w:customStyle="1" w:styleId="itemtext1">
    <w:name w:val="itemtext1"/>
    <w:rPr>
      <w:rFonts w:ascii="Segoe UI" w:hAnsi="Segoe UI" w:cs="Segoe UI"/>
      <w:color w:val="000000"/>
      <w:sz w:val="20"/>
      <w:szCs w:val="20"/>
    </w:rPr>
  </w:style>
  <w:style w:type="paragraph" w:customStyle="1" w:styleId="13">
    <w:name w:val="Обычный (веб)1"/>
    <w:basedOn w:val="23"/>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ind w:left="0"/>
    </w:pPr>
    <w:rPr>
      <w:rFonts w:ascii="Roboto" w:eastAsia="Times New Roman" w:hAnsi="Roboto" w:cs="Times New Roman"/>
      <w:sz w:val="24"/>
      <w:szCs w:val="24"/>
      <w:lang w:eastAsia="ru-RU"/>
    </w:r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sz w:val="20"/>
      <w:szCs w:val="20"/>
    </w:rPr>
  </w:style>
  <w:style w:type="character" w:styleId="afe">
    <w:name w:val="annotation reference"/>
    <w:basedOn w:val="a0"/>
    <w:uiPriority w:val="99"/>
    <w:semiHidden/>
    <w:unhideWhenUsed/>
    <w:rPr>
      <w:sz w:val="16"/>
      <w:szCs w:val="16"/>
    </w:rPr>
  </w:style>
  <w:style w:type="table" w:customStyle="1" w:styleId="14">
    <w:name w:val="Сетка таблицы1"/>
    <w:basedOn w:val="a1"/>
    <w:next w:val="ae"/>
    <w:uiPriority w:val="99"/>
    <w:rsid w:val="00F95A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571</Words>
  <Characters>3258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51</cp:revision>
  <dcterms:created xsi:type="dcterms:W3CDTF">2023-12-28T04:09:00Z</dcterms:created>
  <dcterms:modified xsi:type="dcterms:W3CDTF">2025-11-19T05:27:00Z</dcterms:modified>
</cp:coreProperties>
</file>